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F342D" w14:textId="77777777" w:rsidR="008E3961" w:rsidRPr="008E3961" w:rsidRDefault="008E3961" w:rsidP="008E3961">
      <w:pPr>
        <w:rPr>
          <w:color w:val="074F6A" w:themeColor="accent4" w:themeShade="80"/>
          <w:sz w:val="24"/>
          <w:szCs w:val="24"/>
        </w:rPr>
      </w:pPr>
      <w:r w:rsidRPr="008E3961">
        <w:rPr>
          <w:color w:val="074F6A" w:themeColor="accent4" w:themeShade="80"/>
          <w:sz w:val="24"/>
          <w:szCs w:val="24"/>
        </w:rPr>
        <w:t>Philosophical Foundations and Alignments of the Eco-Systemic Flourishing Framework (ESF)</w:t>
      </w:r>
    </w:p>
    <w:p w14:paraId="4C11AA58" w14:textId="77777777" w:rsidR="008E3961" w:rsidRPr="008E3961" w:rsidRDefault="00030B27" w:rsidP="008E3961">
      <w:r>
        <w:rPr>
          <w:noProof/>
        </w:rPr>
        <w:pict w14:anchorId="6D6E2C45">
          <v:rect id="_x0000_i1029" alt="" style="width:451.3pt;height:.05pt;mso-width-percent:0;mso-height-percent:0;mso-width-percent:0;mso-height-percent:0" o:hralign="center" o:hrstd="t" o:hr="t" fillcolor="#a0a0a0" stroked="f"/>
        </w:pict>
      </w:r>
    </w:p>
    <w:p w14:paraId="5CC0BF85" w14:textId="087932CD" w:rsidR="008E3961" w:rsidRPr="008E3961" w:rsidRDefault="008E3961" w:rsidP="008E3961">
      <w:pPr>
        <w:rPr>
          <w:b/>
          <w:bCs/>
        </w:rPr>
      </w:pPr>
      <w:r>
        <w:rPr>
          <w:b/>
          <w:bCs/>
        </w:rPr>
        <w:br/>
      </w:r>
      <w:r w:rsidRPr="008E3961">
        <w:rPr>
          <w:b/>
          <w:bCs/>
          <w:color w:val="074F6A" w:themeColor="accent4" w:themeShade="80"/>
        </w:rPr>
        <w:t>Introduction</w:t>
      </w:r>
      <w:r>
        <w:rPr>
          <w:b/>
          <w:bCs/>
        </w:rPr>
        <w:br/>
      </w:r>
    </w:p>
    <w:p w14:paraId="69802B14" w14:textId="77777777" w:rsidR="008E3961" w:rsidRPr="008E3961" w:rsidRDefault="008E3961" w:rsidP="008E3961">
      <w:r w:rsidRPr="008E3961">
        <w:t>The Eco-Systemic Flourishing (ESF) framework is grounded in a rich philosophical heritage that spans existentialism, process philosophy, posthumanism, hermeneutics, and relational ontology. ESF not only responds to contemporary global challenges but also builds upon, extends, and operationalizes key insights from some of the most influential thinkers of the 20th and 21st centuries. This document summarizes how ESF aligns with and evolves the core ideas of major philosophers, providing a coherent intellectual foundation for its principles and practices.</w:t>
      </w:r>
    </w:p>
    <w:p w14:paraId="75018F54" w14:textId="77777777" w:rsidR="008E3961" w:rsidRPr="008E3961" w:rsidRDefault="00030B27" w:rsidP="008E3961">
      <w:r>
        <w:rPr>
          <w:noProof/>
        </w:rPr>
        <w:pict w14:anchorId="36A536DF">
          <v:rect id="_x0000_i1028" alt="" style="width:451.3pt;height:.05pt;mso-width-percent:0;mso-height-percent:0;mso-width-percent:0;mso-height-percent:0" o:hralign="center" o:hrstd="t" o:hr="t" fillcolor="#a0a0a0" stroked="f"/>
        </w:pict>
      </w:r>
    </w:p>
    <w:p w14:paraId="57E48D63" w14:textId="31979A43" w:rsidR="008E3961" w:rsidRPr="008E3961" w:rsidRDefault="008E3961" w:rsidP="008E3961">
      <w:pPr>
        <w:rPr>
          <w:b/>
          <w:bCs/>
        </w:rPr>
      </w:pPr>
      <w:r>
        <w:rPr>
          <w:b/>
          <w:bCs/>
        </w:rPr>
        <w:br/>
      </w:r>
      <w:r w:rsidRPr="008E3961">
        <w:rPr>
          <w:b/>
          <w:bCs/>
          <w:color w:val="074F6A" w:themeColor="accent4" w:themeShade="80"/>
        </w:rPr>
        <w:t>Bridging Key Philosophers with ESF</w:t>
      </w:r>
      <w:r>
        <w:rPr>
          <w:b/>
          <w:bCs/>
        </w:rPr>
        <w:br/>
      </w:r>
    </w:p>
    <w:p w14:paraId="7611032D" w14:textId="111C8E34" w:rsidR="008E3961" w:rsidRPr="008E3961" w:rsidRDefault="008E3961" w:rsidP="008E3961">
      <w:r w:rsidRPr="008E3961">
        <w:rPr>
          <w:b/>
          <w:bCs/>
        </w:rPr>
        <w:t>Martin Heidegger</w:t>
      </w:r>
      <w:r w:rsidRPr="008E3961">
        <w:br/>
        <w:t xml:space="preserve">Heidegger's concept of </w:t>
      </w:r>
      <w:r w:rsidRPr="008E3961">
        <w:rPr>
          <w:i/>
          <w:iCs/>
        </w:rPr>
        <w:t>Being-in-the-world</w:t>
      </w:r>
      <w:r w:rsidRPr="008E3961">
        <w:t xml:space="preserve"> underscores the relational nature of existence, where human beings are fundamentally embedded within ecosystems, cultures, and histories (Heidegger, 1962). His critique of technological enframing (</w:t>
      </w:r>
      <w:r w:rsidRPr="008E3961">
        <w:rPr>
          <w:i/>
          <w:iCs/>
        </w:rPr>
        <w:t>Gestell</w:t>
      </w:r>
      <w:r w:rsidRPr="008E3961">
        <w:t xml:space="preserve">) and call for </w:t>
      </w:r>
      <w:r w:rsidRPr="008E3961">
        <w:rPr>
          <w:i/>
          <w:iCs/>
        </w:rPr>
        <w:t>dwelling poetically</w:t>
      </w:r>
      <w:r w:rsidRPr="008E3961">
        <w:t xml:space="preserve"> on Earth aligns with ESF's emphasis on relational being, ecological embeddedness, reverence for life, and regenerative practices.</w:t>
      </w:r>
      <w:r>
        <w:br/>
      </w:r>
    </w:p>
    <w:p w14:paraId="05B3CAFD" w14:textId="0EBADC06" w:rsidR="008E3961" w:rsidRPr="008E3961" w:rsidRDefault="008E3961" w:rsidP="008E3961">
      <w:r w:rsidRPr="008E3961">
        <w:rPr>
          <w:b/>
          <w:bCs/>
        </w:rPr>
        <w:t>Ludwig Wittgenstein</w:t>
      </w:r>
      <w:r w:rsidRPr="008E3961">
        <w:br/>
        <w:t>Wittgenstein’s later philosophy emphasizes that meaning arises through shared "forms of life" rather than isolated minds (Wittgenstein, 1953). ESF similarly grounds flourishing in cultural, ecological, and communal participation, treating thriving as a context-sensitive, relational achievement rather than a universal abstraction.</w:t>
      </w:r>
      <w:r>
        <w:br/>
      </w:r>
    </w:p>
    <w:p w14:paraId="5D7F0621" w14:textId="2005D7A4" w:rsidR="008E3961" w:rsidRPr="008E3961" w:rsidRDefault="008E3961" w:rsidP="008E3961">
      <w:r w:rsidRPr="008E3961">
        <w:rPr>
          <w:b/>
          <w:bCs/>
        </w:rPr>
        <w:t>Alfred North Whitehead</w:t>
      </w:r>
      <w:r w:rsidRPr="008E3961">
        <w:br/>
        <w:t>Whitehead’s process philosophy views reality as an ongoing, relational unfolding rather than a collection of static objects (Whitehead, 1929). ESF mirrors this view by conceptualizing flourishing as dynamic, co-creative, and evolving within nested ecological and social systems.</w:t>
      </w:r>
      <w:r>
        <w:br/>
      </w:r>
    </w:p>
    <w:p w14:paraId="6D1AFEFF" w14:textId="1B2E81DD" w:rsidR="008E3961" w:rsidRPr="008E3961" w:rsidRDefault="008E3961" w:rsidP="008E3961">
      <w:r w:rsidRPr="008E3961">
        <w:rPr>
          <w:b/>
          <w:bCs/>
        </w:rPr>
        <w:t>Charles Taylor</w:t>
      </w:r>
      <w:r w:rsidRPr="008E3961">
        <w:br/>
        <w:t>Taylor highlights that personal identity and flourishing are culturally and morally situated, shaped by shared narratives and traditions (Taylor, 1989). ESF integrates this by emphasizing cultural values, narrative belonging, and moral imagination as critical domains of dynamic flourishing.</w:t>
      </w:r>
      <w:r>
        <w:br/>
      </w:r>
    </w:p>
    <w:p w14:paraId="3FB562C4" w14:textId="6238BDDB" w:rsidR="008E3961" w:rsidRPr="008E3961" w:rsidRDefault="008E3961" w:rsidP="008E3961">
      <w:r w:rsidRPr="008E3961">
        <w:rPr>
          <w:b/>
          <w:bCs/>
        </w:rPr>
        <w:t>Hans-Georg Gadamer</w:t>
      </w:r>
      <w:r w:rsidRPr="008E3961">
        <w:br/>
        <w:t>Gadamer’s hermeneutics frame understanding as emerging through dialogue, tradition, and relational openness (Gadamer, 1975). ESF extends this dialogical vision into systemic and ecological domains, embedding flourishing within participatory, culturally situated, and regenerative engagements.</w:t>
      </w:r>
      <w:r>
        <w:br/>
      </w:r>
    </w:p>
    <w:p w14:paraId="2C9AC2DC" w14:textId="35D87674" w:rsidR="008E3961" w:rsidRPr="008E3961" w:rsidRDefault="008E3961" w:rsidP="008E3961">
      <w:r w:rsidRPr="008E3961">
        <w:rPr>
          <w:b/>
          <w:bCs/>
        </w:rPr>
        <w:t>Donna Haraway</w:t>
      </w:r>
      <w:r w:rsidRPr="008E3961">
        <w:br/>
        <w:t>Haraway’s posthumanist vision dissolves rigid human/non-human boundaries, advocating for multispecies kinship and relational ethics (Haraway, 2016). ESF incorporates this by treating non-human beings and ecosystems as active participants in co-flourishing futures.</w:t>
      </w:r>
      <w:r>
        <w:br/>
      </w:r>
    </w:p>
    <w:p w14:paraId="48323A9A" w14:textId="77777777" w:rsidR="008E3961" w:rsidRPr="008E3961" w:rsidRDefault="008E3961" w:rsidP="008E3961">
      <w:r w:rsidRPr="008E3961">
        <w:rPr>
          <w:b/>
          <w:bCs/>
        </w:rPr>
        <w:t>Bruno Latour</w:t>
      </w:r>
      <w:r w:rsidRPr="008E3961">
        <w:br/>
        <w:t xml:space="preserve">Latour’s actor-network theory (ANT) reveals that agency is distributed across human and non-human </w:t>
      </w:r>
      <w:r w:rsidRPr="008E3961">
        <w:lastRenderedPageBreak/>
        <w:t>networks, challenging modern separations of society and nature (Latour, 2005). ESF operationalizes this insight through systemic approaches that embed ecological agency into education, governance, and economic systems.</w:t>
      </w:r>
    </w:p>
    <w:p w14:paraId="49FF0721" w14:textId="0F882AB3" w:rsidR="008E3961" w:rsidRPr="008E3961" w:rsidRDefault="00030B27" w:rsidP="008E3961">
      <w:r>
        <w:rPr>
          <w:noProof/>
        </w:rPr>
        <w:pict w14:anchorId="7B36E0C0">
          <v:rect id="_x0000_i1027" alt="" style="width:451.3pt;height:.05pt;mso-width-percent:0;mso-height-percent:0;mso-width-percent:0;mso-height-percent:0" o:hralign="center" o:hrstd="t" o:hr="t" fillcolor="#a0a0a0" stroked="f"/>
        </w:pict>
      </w:r>
      <w:r w:rsidR="008E3961">
        <w:br/>
      </w:r>
    </w:p>
    <w:p w14:paraId="57C14704" w14:textId="75DAC547" w:rsidR="008E3961" w:rsidRPr="008E3961" w:rsidRDefault="008E3961" w:rsidP="008E3961">
      <w:pPr>
        <w:rPr>
          <w:b/>
          <w:bCs/>
        </w:rPr>
      </w:pPr>
      <w:r w:rsidRPr="008E3961">
        <w:rPr>
          <w:b/>
          <w:bCs/>
          <w:color w:val="074F6A" w:themeColor="accent4" w:themeShade="80"/>
        </w:rPr>
        <w:t>Summative Table: Philosophical Alignments with ESF</w:t>
      </w:r>
      <w:r>
        <w:rPr>
          <w:b/>
          <w:bCs/>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6"/>
        <w:gridCol w:w="3319"/>
        <w:gridCol w:w="4461"/>
      </w:tblGrid>
      <w:tr w:rsidR="008E3961" w:rsidRPr="008E3961" w14:paraId="3D09FAEC" w14:textId="77777777" w:rsidTr="008E3961">
        <w:trPr>
          <w:tblCellSpacing w:w="15" w:type="dxa"/>
        </w:trPr>
        <w:tc>
          <w:tcPr>
            <w:tcW w:w="0" w:type="auto"/>
            <w:vAlign w:val="center"/>
            <w:hideMark/>
          </w:tcPr>
          <w:p w14:paraId="2CCE4FFA" w14:textId="77777777" w:rsidR="008E3961" w:rsidRPr="008E3961" w:rsidRDefault="008E3961" w:rsidP="008E3961">
            <w:pPr>
              <w:rPr>
                <w:b/>
                <w:bCs/>
              </w:rPr>
            </w:pPr>
            <w:r w:rsidRPr="008E3961">
              <w:rPr>
                <w:b/>
                <w:bCs/>
              </w:rPr>
              <w:t>Philosopher</w:t>
            </w:r>
          </w:p>
        </w:tc>
        <w:tc>
          <w:tcPr>
            <w:tcW w:w="0" w:type="auto"/>
            <w:vAlign w:val="center"/>
            <w:hideMark/>
          </w:tcPr>
          <w:p w14:paraId="01DEF667" w14:textId="4242FD92" w:rsidR="008E3961" w:rsidRPr="008E3961" w:rsidRDefault="008E3961" w:rsidP="008E3961">
            <w:pPr>
              <w:rPr>
                <w:b/>
                <w:bCs/>
              </w:rPr>
            </w:pPr>
            <w:r w:rsidRPr="008E3961">
              <w:rPr>
                <w:b/>
                <w:bCs/>
              </w:rPr>
              <w:t>Core Concept</w:t>
            </w:r>
          </w:p>
        </w:tc>
        <w:tc>
          <w:tcPr>
            <w:tcW w:w="0" w:type="auto"/>
            <w:vAlign w:val="center"/>
            <w:hideMark/>
          </w:tcPr>
          <w:p w14:paraId="619F72F5" w14:textId="1880240A" w:rsidR="008E3961" w:rsidRPr="008E3961" w:rsidRDefault="008E3961" w:rsidP="008E3961">
            <w:pPr>
              <w:rPr>
                <w:b/>
                <w:bCs/>
              </w:rPr>
            </w:pPr>
            <w:r w:rsidRPr="008E3961">
              <w:rPr>
                <w:b/>
                <w:bCs/>
              </w:rPr>
              <w:t>ESF Resonance</w:t>
            </w:r>
          </w:p>
        </w:tc>
      </w:tr>
      <w:tr w:rsidR="008E3961" w:rsidRPr="008E3961" w14:paraId="7B8C06A8" w14:textId="77777777" w:rsidTr="008E3961">
        <w:trPr>
          <w:tblCellSpacing w:w="15" w:type="dxa"/>
        </w:trPr>
        <w:tc>
          <w:tcPr>
            <w:tcW w:w="0" w:type="auto"/>
            <w:vAlign w:val="center"/>
            <w:hideMark/>
          </w:tcPr>
          <w:p w14:paraId="42EBF904" w14:textId="77777777" w:rsidR="008E3961" w:rsidRPr="008E3961" w:rsidRDefault="008E3961" w:rsidP="008E3961">
            <w:r w:rsidRPr="008E3961">
              <w:rPr>
                <w:b/>
                <w:bCs/>
              </w:rPr>
              <w:t>Heidegger</w:t>
            </w:r>
          </w:p>
        </w:tc>
        <w:tc>
          <w:tcPr>
            <w:tcW w:w="0" w:type="auto"/>
            <w:vAlign w:val="center"/>
            <w:hideMark/>
          </w:tcPr>
          <w:p w14:paraId="71BCDAA7" w14:textId="77777777" w:rsidR="008E3961" w:rsidRPr="008E3961" w:rsidRDefault="008E3961" w:rsidP="008E3961">
            <w:r w:rsidRPr="008E3961">
              <w:t>Being-in-the-world; dwelling; critique of technology</w:t>
            </w:r>
          </w:p>
        </w:tc>
        <w:tc>
          <w:tcPr>
            <w:tcW w:w="0" w:type="auto"/>
            <w:vAlign w:val="center"/>
            <w:hideMark/>
          </w:tcPr>
          <w:p w14:paraId="751D2E74" w14:textId="77777777" w:rsidR="008E3961" w:rsidRPr="008E3961" w:rsidRDefault="008E3961" w:rsidP="008E3961">
            <w:r w:rsidRPr="008E3961">
              <w:t>Relational ontology, ecological embeddedness, regenerative culture</w:t>
            </w:r>
          </w:p>
        </w:tc>
      </w:tr>
      <w:tr w:rsidR="008E3961" w:rsidRPr="008E3961" w14:paraId="27CBC58E" w14:textId="77777777" w:rsidTr="008E3961">
        <w:trPr>
          <w:tblCellSpacing w:w="15" w:type="dxa"/>
        </w:trPr>
        <w:tc>
          <w:tcPr>
            <w:tcW w:w="0" w:type="auto"/>
            <w:vAlign w:val="center"/>
            <w:hideMark/>
          </w:tcPr>
          <w:p w14:paraId="45E8583D" w14:textId="77777777" w:rsidR="008E3961" w:rsidRPr="008E3961" w:rsidRDefault="008E3961" w:rsidP="008E3961">
            <w:r w:rsidRPr="008E3961">
              <w:rPr>
                <w:b/>
                <w:bCs/>
              </w:rPr>
              <w:t>Wittgenstein</w:t>
            </w:r>
          </w:p>
        </w:tc>
        <w:tc>
          <w:tcPr>
            <w:tcW w:w="0" w:type="auto"/>
            <w:vAlign w:val="center"/>
            <w:hideMark/>
          </w:tcPr>
          <w:p w14:paraId="7D8DE3B7" w14:textId="77777777" w:rsidR="008E3961" w:rsidRPr="008E3961" w:rsidRDefault="008E3961" w:rsidP="008E3961">
            <w:r w:rsidRPr="008E3961">
              <w:t>Forms of life; meaning through social practices</w:t>
            </w:r>
          </w:p>
        </w:tc>
        <w:tc>
          <w:tcPr>
            <w:tcW w:w="0" w:type="auto"/>
            <w:vAlign w:val="center"/>
            <w:hideMark/>
          </w:tcPr>
          <w:p w14:paraId="4765CF3A" w14:textId="77777777" w:rsidR="008E3961" w:rsidRPr="008E3961" w:rsidRDefault="008E3961" w:rsidP="008E3961">
            <w:r w:rsidRPr="008E3961">
              <w:t>Context-sensitive, participatory flourishing; cultural-ecological grounding</w:t>
            </w:r>
          </w:p>
        </w:tc>
      </w:tr>
      <w:tr w:rsidR="008E3961" w:rsidRPr="008E3961" w14:paraId="44C8E88F" w14:textId="77777777" w:rsidTr="008E3961">
        <w:trPr>
          <w:tblCellSpacing w:w="15" w:type="dxa"/>
        </w:trPr>
        <w:tc>
          <w:tcPr>
            <w:tcW w:w="0" w:type="auto"/>
            <w:vAlign w:val="center"/>
            <w:hideMark/>
          </w:tcPr>
          <w:p w14:paraId="4F669820" w14:textId="77777777" w:rsidR="008E3961" w:rsidRPr="008E3961" w:rsidRDefault="008E3961" w:rsidP="008E3961">
            <w:r w:rsidRPr="008E3961">
              <w:rPr>
                <w:b/>
                <w:bCs/>
              </w:rPr>
              <w:t>Whitehead</w:t>
            </w:r>
          </w:p>
        </w:tc>
        <w:tc>
          <w:tcPr>
            <w:tcW w:w="0" w:type="auto"/>
            <w:vAlign w:val="center"/>
            <w:hideMark/>
          </w:tcPr>
          <w:p w14:paraId="2DE6DEAA" w14:textId="77777777" w:rsidR="008E3961" w:rsidRPr="008E3961" w:rsidRDefault="008E3961" w:rsidP="008E3961">
            <w:r w:rsidRPr="008E3961">
              <w:t>Process philosophy; relational becoming</w:t>
            </w:r>
          </w:p>
        </w:tc>
        <w:tc>
          <w:tcPr>
            <w:tcW w:w="0" w:type="auto"/>
            <w:vAlign w:val="center"/>
            <w:hideMark/>
          </w:tcPr>
          <w:p w14:paraId="0CF8EDD6" w14:textId="77777777" w:rsidR="008E3961" w:rsidRPr="008E3961" w:rsidRDefault="008E3961" w:rsidP="008E3961">
            <w:r w:rsidRPr="008E3961">
              <w:t>Dynamic, evolving flourishing within nested systems</w:t>
            </w:r>
          </w:p>
        </w:tc>
      </w:tr>
      <w:tr w:rsidR="008E3961" w:rsidRPr="008E3961" w14:paraId="4F6E5B56" w14:textId="77777777" w:rsidTr="008E3961">
        <w:trPr>
          <w:tblCellSpacing w:w="15" w:type="dxa"/>
        </w:trPr>
        <w:tc>
          <w:tcPr>
            <w:tcW w:w="0" w:type="auto"/>
            <w:vAlign w:val="center"/>
            <w:hideMark/>
          </w:tcPr>
          <w:p w14:paraId="6A8E8A2B" w14:textId="77777777" w:rsidR="008E3961" w:rsidRPr="008E3961" w:rsidRDefault="008E3961" w:rsidP="008E3961">
            <w:r w:rsidRPr="008E3961">
              <w:rPr>
                <w:b/>
                <w:bCs/>
              </w:rPr>
              <w:t>Taylor</w:t>
            </w:r>
          </w:p>
        </w:tc>
        <w:tc>
          <w:tcPr>
            <w:tcW w:w="0" w:type="auto"/>
            <w:vAlign w:val="center"/>
            <w:hideMark/>
          </w:tcPr>
          <w:p w14:paraId="795773C0" w14:textId="77777777" w:rsidR="008E3961" w:rsidRPr="008E3961" w:rsidRDefault="008E3961" w:rsidP="008E3961">
            <w:r w:rsidRPr="008E3961">
              <w:t>Sources of the self; cultural moral frameworks</w:t>
            </w:r>
          </w:p>
        </w:tc>
        <w:tc>
          <w:tcPr>
            <w:tcW w:w="0" w:type="auto"/>
            <w:vAlign w:val="center"/>
            <w:hideMark/>
          </w:tcPr>
          <w:p w14:paraId="2B008EAD" w14:textId="77777777" w:rsidR="008E3961" w:rsidRPr="008E3961" w:rsidRDefault="008E3961" w:rsidP="008E3961">
            <w:r w:rsidRPr="008E3961">
              <w:t>Narrative belonging, cultural values, moral imagination</w:t>
            </w:r>
          </w:p>
        </w:tc>
      </w:tr>
      <w:tr w:rsidR="008E3961" w:rsidRPr="008E3961" w14:paraId="5769A5BE" w14:textId="77777777" w:rsidTr="008E3961">
        <w:trPr>
          <w:tblCellSpacing w:w="15" w:type="dxa"/>
        </w:trPr>
        <w:tc>
          <w:tcPr>
            <w:tcW w:w="0" w:type="auto"/>
            <w:vAlign w:val="center"/>
            <w:hideMark/>
          </w:tcPr>
          <w:p w14:paraId="57B2DFF0" w14:textId="77777777" w:rsidR="008E3961" w:rsidRPr="008E3961" w:rsidRDefault="008E3961" w:rsidP="008E3961">
            <w:r w:rsidRPr="008E3961">
              <w:rPr>
                <w:b/>
                <w:bCs/>
              </w:rPr>
              <w:t>Gadamer</w:t>
            </w:r>
          </w:p>
        </w:tc>
        <w:tc>
          <w:tcPr>
            <w:tcW w:w="0" w:type="auto"/>
            <w:vAlign w:val="center"/>
            <w:hideMark/>
          </w:tcPr>
          <w:p w14:paraId="0445D109" w14:textId="77777777" w:rsidR="008E3961" w:rsidRPr="008E3961" w:rsidRDefault="008E3961" w:rsidP="008E3961">
            <w:r w:rsidRPr="008E3961">
              <w:t>Dialogical understanding; tradition and openness</w:t>
            </w:r>
          </w:p>
        </w:tc>
        <w:tc>
          <w:tcPr>
            <w:tcW w:w="0" w:type="auto"/>
            <w:vAlign w:val="center"/>
            <w:hideMark/>
          </w:tcPr>
          <w:p w14:paraId="0570E764" w14:textId="77777777" w:rsidR="008E3961" w:rsidRPr="008E3961" w:rsidRDefault="008E3961" w:rsidP="008E3961">
            <w:r w:rsidRPr="008E3961">
              <w:t>Participatory, regenerative co-flourishing rooted in culture and ecology</w:t>
            </w:r>
          </w:p>
        </w:tc>
      </w:tr>
      <w:tr w:rsidR="008E3961" w:rsidRPr="008E3961" w14:paraId="534F66C0" w14:textId="77777777" w:rsidTr="008E3961">
        <w:trPr>
          <w:tblCellSpacing w:w="15" w:type="dxa"/>
        </w:trPr>
        <w:tc>
          <w:tcPr>
            <w:tcW w:w="0" w:type="auto"/>
            <w:vAlign w:val="center"/>
            <w:hideMark/>
          </w:tcPr>
          <w:p w14:paraId="0B084FA1" w14:textId="77777777" w:rsidR="008E3961" w:rsidRPr="008E3961" w:rsidRDefault="008E3961" w:rsidP="008E3961">
            <w:r w:rsidRPr="008E3961">
              <w:rPr>
                <w:b/>
                <w:bCs/>
              </w:rPr>
              <w:t>Haraway</w:t>
            </w:r>
          </w:p>
        </w:tc>
        <w:tc>
          <w:tcPr>
            <w:tcW w:w="0" w:type="auto"/>
            <w:vAlign w:val="center"/>
            <w:hideMark/>
          </w:tcPr>
          <w:p w14:paraId="58E392A7" w14:textId="77777777" w:rsidR="008E3961" w:rsidRPr="008E3961" w:rsidRDefault="008E3961" w:rsidP="008E3961">
            <w:r w:rsidRPr="008E3961">
              <w:t>Posthumanist relationality; multispecies kinship</w:t>
            </w:r>
          </w:p>
        </w:tc>
        <w:tc>
          <w:tcPr>
            <w:tcW w:w="0" w:type="auto"/>
            <w:vAlign w:val="center"/>
            <w:hideMark/>
          </w:tcPr>
          <w:p w14:paraId="2D7DEF3B" w14:textId="77777777" w:rsidR="008E3961" w:rsidRPr="008E3961" w:rsidRDefault="008E3961" w:rsidP="008E3961">
            <w:r w:rsidRPr="008E3961">
              <w:t>Decentering human exceptionalism; regenerative multispecies futures</w:t>
            </w:r>
          </w:p>
        </w:tc>
      </w:tr>
      <w:tr w:rsidR="008E3961" w:rsidRPr="008E3961" w14:paraId="2AABFE77" w14:textId="77777777" w:rsidTr="008E3961">
        <w:trPr>
          <w:tblCellSpacing w:w="15" w:type="dxa"/>
        </w:trPr>
        <w:tc>
          <w:tcPr>
            <w:tcW w:w="0" w:type="auto"/>
            <w:vAlign w:val="center"/>
            <w:hideMark/>
          </w:tcPr>
          <w:p w14:paraId="2825B60F" w14:textId="77777777" w:rsidR="008E3961" w:rsidRPr="008E3961" w:rsidRDefault="008E3961" w:rsidP="008E3961">
            <w:r w:rsidRPr="008E3961">
              <w:rPr>
                <w:b/>
                <w:bCs/>
              </w:rPr>
              <w:t>Latour</w:t>
            </w:r>
          </w:p>
        </w:tc>
        <w:tc>
          <w:tcPr>
            <w:tcW w:w="0" w:type="auto"/>
            <w:vAlign w:val="center"/>
            <w:hideMark/>
          </w:tcPr>
          <w:p w14:paraId="49C61CEA" w14:textId="77777777" w:rsidR="008E3961" w:rsidRPr="008E3961" w:rsidRDefault="008E3961" w:rsidP="008E3961">
            <w:r w:rsidRPr="008E3961">
              <w:t>Actor-network theory; distributed agency</w:t>
            </w:r>
          </w:p>
        </w:tc>
        <w:tc>
          <w:tcPr>
            <w:tcW w:w="0" w:type="auto"/>
            <w:vAlign w:val="center"/>
            <w:hideMark/>
          </w:tcPr>
          <w:p w14:paraId="50501114" w14:textId="77777777" w:rsidR="008E3961" w:rsidRPr="008E3961" w:rsidRDefault="008E3961" w:rsidP="008E3961">
            <w:r w:rsidRPr="008E3961">
              <w:t>Systemic ecological agency and relational governance</w:t>
            </w:r>
          </w:p>
        </w:tc>
      </w:tr>
    </w:tbl>
    <w:p w14:paraId="234DD8AC" w14:textId="77777777" w:rsidR="008E3961" w:rsidRPr="008E3961" w:rsidRDefault="00030B27" w:rsidP="008E3961">
      <w:r>
        <w:rPr>
          <w:noProof/>
        </w:rPr>
        <w:pict w14:anchorId="03591A7E">
          <v:rect id="_x0000_i1026" alt="" style="width:451.3pt;height:.05pt;mso-width-percent:0;mso-height-percent:0;mso-width-percent:0;mso-height-percent:0" o:hralign="center" o:hrstd="t" o:hr="t" fillcolor="#a0a0a0" stroked="f"/>
        </w:pict>
      </w:r>
    </w:p>
    <w:p w14:paraId="7C7E1639" w14:textId="5D22DC66" w:rsidR="008E3961" w:rsidRPr="008E3961" w:rsidRDefault="008E3961" w:rsidP="008E3961">
      <w:pPr>
        <w:rPr>
          <w:b/>
          <w:bCs/>
        </w:rPr>
      </w:pPr>
      <w:r>
        <w:rPr>
          <w:b/>
          <w:bCs/>
        </w:rPr>
        <w:br/>
      </w:r>
      <w:r w:rsidRPr="008E3961">
        <w:rPr>
          <w:b/>
          <w:bCs/>
          <w:color w:val="074F6A" w:themeColor="accent4" w:themeShade="80"/>
        </w:rPr>
        <w:t>Conclusion</w:t>
      </w:r>
      <w:r>
        <w:rPr>
          <w:b/>
          <w:bCs/>
        </w:rPr>
        <w:br/>
      </w:r>
    </w:p>
    <w:p w14:paraId="0C277D73" w14:textId="1D6E2826" w:rsidR="008E3961" w:rsidRPr="008E3961" w:rsidRDefault="008E3961" w:rsidP="008E3961">
      <w:r w:rsidRPr="008E3961">
        <w:t>The Eco-Systemic Flourishing framework draws from a constellation of philosophical traditions, weaving together insights from existentialism, process thought, hermeneutics, posthumanism, and systems theory. By embedding flourishing within dynamic relationships across human, cultural, ecological, and systemic domains, ESF offers a robust, regenerative model for thriving futures. It honors these intellectual legacies while extending them into actionable strategies for education, governance, community life, and planetary stewardship.</w:t>
      </w:r>
      <w:r>
        <w:br/>
      </w:r>
    </w:p>
    <w:p w14:paraId="6204581A" w14:textId="77777777" w:rsidR="008E3961" w:rsidRPr="008E3961" w:rsidRDefault="008E3961" w:rsidP="008E3961">
      <w:r w:rsidRPr="008E3961">
        <w:t>This synthesis affirms ESF as a leading-edge response to the complex challenges of the 21st century, embodying a philosophy of relational care, dynamic becoming, and collective renewal.</w:t>
      </w:r>
    </w:p>
    <w:p w14:paraId="5BB4C78B" w14:textId="77777777" w:rsidR="008E3961" w:rsidRPr="008E3961" w:rsidRDefault="00030B27" w:rsidP="008E3961">
      <w:r>
        <w:rPr>
          <w:noProof/>
        </w:rPr>
        <w:pict w14:anchorId="0C5A071A">
          <v:rect id="_x0000_i1025" alt="" style="width:451.3pt;height:.05pt;mso-width-percent:0;mso-height-percent:0;mso-width-percent:0;mso-height-percent:0" o:hralign="center" o:hrstd="t" o:hr="t" fillcolor="#a0a0a0" stroked="f"/>
        </w:pict>
      </w:r>
    </w:p>
    <w:p w14:paraId="41580121" w14:textId="72C9B4D3" w:rsidR="008E3961" w:rsidRPr="008E3961" w:rsidRDefault="008E3961" w:rsidP="008E3961">
      <w:pPr>
        <w:rPr>
          <w:b/>
          <w:bCs/>
        </w:rPr>
      </w:pPr>
      <w:r>
        <w:rPr>
          <w:b/>
          <w:bCs/>
        </w:rPr>
        <w:br/>
      </w:r>
      <w:r w:rsidRPr="008E3961">
        <w:rPr>
          <w:b/>
          <w:bCs/>
        </w:rPr>
        <w:t>References</w:t>
      </w:r>
      <w:r>
        <w:rPr>
          <w:b/>
          <w:bCs/>
        </w:rPr>
        <w:br/>
      </w:r>
    </w:p>
    <w:p w14:paraId="68301C76" w14:textId="77777777" w:rsidR="008E3961" w:rsidRPr="008E3961" w:rsidRDefault="008E3961" w:rsidP="008E3961">
      <w:pPr>
        <w:numPr>
          <w:ilvl w:val="0"/>
          <w:numId w:val="1"/>
        </w:numPr>
      </w:pPr>
      <w:r w:rsidRPr="008E3961">
        <w:t xml:space="preserve">Gadamer, H.-G. (1975). </w:t>
      </w:r>
      <w:r w:rsidRPr="008E3961">
        <w:rPr>
          <w:i/>
          <w:iCs/>
        </w:rPr>
        <w:t>Truth and Method</w:t>
      </w:r>
      <w:r w:rsidRPr="008E3961">
        <w:t>. New York: Seabury Press.</w:t>
      </w:r>
    </w:p>
    <w:p w14:paraId="18C0D407" w14:textId="77777777" w:rsidR="008E3961" w:rsidRPr="008E3961" w:rsidRDefault="008E3961" w:rsidP="008E3961">
      <w:pPr>
        <w:numPr>
          <w:ilvl w:val="0"/>
          <w:numId w:val="1"/>
        </w:numPr>
      </w:pPr>
      <w:r w:rsidRPr="008E3961">
        <w:t xml:space="preserve">Haraway, D. (2016). </w:t>
      </w:r>
      <w:r w:rsidRPr="008E3961">
        <w:rPr>
          <w:i/>
          <w:iCs/>
        </w:rPr>
        <w:t>Staying with the Trouble: Making Kin in the Chthulucene</w:t>
      </w:r>
      <w:r w:rsidRPr="008E3961">
        <w:t>. Durham: Duke University Press.</w:t>
      </w:r>
    </w:p>
    <w:p w14:paraId="3892DF5E" w14:textId="77777777" w:rsidR="008E3961" w:rsidRPr="008E3961" w:rsidRDefault="008E3961" w:rsidP="008E3961">
      <w:pPr>
        <w:numPr>
          <w:ilvl w:val="0"/>
          <w:numId w:val="1"/>
        </w:numPr>
      </w:pPr>
      <w:r w:rsidRPr="008E3961">
        <w:t xml:space="preserve">Heidegger, M. (1962). </w:t>
      </w:r>
      <w:r w:rsidRPr="008E3961">
        <w:rPr>
          <w:i/>
          <w:iCs/>
        </w:rPr>
        <w:t>Being and Time</w:t>
      </w:r>
      <w:r w:rsidRPr="008E3961">
        <w:t>. New York: Harper &amp; Row.</w:t>
      </w:r>
    </w:p>
    <w:p w14:paraId="758FF648" w14:textId="77777777" w:rsidR="008E3961" w:rsidRPr="008E3961" w:rsidRDefault="008E3961" w:rsidP="008E3961">
      <w:pPr>
        <w:numPr>
          <w:ilvl w:val="0"/>
          <w:numId w:val="1"/>
        </w:numPr>
      </w:pPr>
      <w:r w:rsidRPr="008E3961">
        <w:t xml:space="preserve">Latour, B. (2005). </w:t>
      </w:r>
      <w:r w:rsidRPr="008E3961">
        <w:rPr>
          <w:i/>
          <w:iCs/>
        </w:rPr>
        <w:t>Reassembling the Social: An Introduction to Actor-Network-Theory</w:t>
      </w:r>
      <w:r w:rsidRPr="008E3961">
        <w:t>. Oxford: Oxford University Press.</w:t>
      </w:r>
    </w:p>
    <w:p w14:paraId="2EE81FE5" w14:textId="77777777" w:rsidR="008E3961" w:rsidRPr="008E3961" w:rsidRDefault="008E3961" w:rsidP="008E3961">
      <w:pPr>
        <w:numPr>
          <w:ilvl w:val="0"/>
          <w:numId w:val="1"/>
        </w:numPr>
      </w:pPr>
      <w:r w:rsidRPr="008E3961">
        <w:t xml:space="preserve">Taylor, C. (1989). </w:t>
      </w:r>
      <w:r w:rsidRPr="008E3961">
        <w:rPr>
          <w:i/>
          <w:iCs/>
        </w:rPr>
        <w:t>Sources of the Self: The Making of the Modern Identity</w:t>
      </w:r>
      <w:r w:rsidRPr="008E3961">
        <w:t>. Cambridge: Harvard University Press.</w:t>
      </w:r>
    </w:p>
    <w:p w14:paraId="1A1C51B6" w14:textId="77777777" w:rsidR="008E3961" w:rsidRPr="008E3961" w:rsidRDefault="008E3961" w:rsidP="008E3961">
      <w:pPr>
        <w:numPr>
          <w:ilvl w:val="0"/>
          <w:numId w:val="1"/>
        </w:numPr>
      </w:pPr>
      <w:r w:rsidRPr="008E3961">
        <w:t xml:space="preserve">Whitehead, A. N. (1929). </w:t>
      </w:r>
      <w:r w:rsidRPr="008E3961">
        <w:rPr>
          <w:i/>
          <w:iCs/>
        </w:rPr>
        <w:t>Process and Reality</w:t>
      </w:r>
      <w:r w:rsidRPr="008E3961">
        <w:t>. New York: Macmillan.</w:t>
      </w:r>
    </w:p>
    <w:p w14:paraId="4B776B77" w14:textId="77777777" w:rsidR="008E3961" w:rsidRPr="008E3961" w:rsidRDefault="008E3961" w:rsidP="008E3961">
      <w:pPr>
        <w:numPr>
          <w:ilvl w:val="0"/>
          <w:numId w:val="1"/>
        </w:numPr>
      </w:pPr>
      <w:r w:rsidRPr="008E3961">
        <w:t xml:space="preserve">Wittgenstein, L. (1953). </w:t>
      </w:r>
      <w:r w:rsidRPr="008E3961">
        <w:rPr>
          <w:i/>
          <w:iCs/>
        </w:rPr>
        <w:t>Philosophical Investigations</w:t>
      </w:r>
      <w:r w:rsidRPr="008E3961">
        <w:t>. Oxford: Blackwell.</w:t>
      </w:r>
    </w:p>
    <w:p w14:paraId="28245A28" w14:textId="77777777" w:rsidR="00C6422C" w:rsidRPr="008E3961" w:rsidRDefault="00C6422C" w:rsidP="008E3961"/>
    <w:sectPr w:rsidR="00C6422C" w:rsidRPr="008E3961" w:rsidSect="00AE5EBE">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9B145" w14:textId="77777777" w:rsidR="00030B27" w:rsidRDefault="00030B27" w:rsidP="003B4252">
      <w:r>
        <w:separator/>
      </w:r>
    </w:p>
  </w:endnote>
  <w:endnote w:type="continuationSeparator" w:id="0">
    <w:p w14:paraId="072D68A8" w14:textId="77777777" w:rsidR="00030B27" w:rsidRDefault="00030B27" w:rsidP="003B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87F2" w14:textId="77777777" w:rsidR="00030B27" w:rsidRDefault="00030B27" w:rsidP="003B4252">
      <w:r>
        <w:separator/>
      </w:r>
    </w:p>
  </w:footnote>
  <w:footnote w:type="continuationSeparator" w:id="0">
    <w:p w14:paraId="005F6C03" w14:textId="77777777" w:rsidR="00030B27" w:rsidRDefault="00030B27" w:rsidP="003B4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C5423" w14:textId="136FA735" w:rsidR="003B4252" w:rsidRDefault="003B4252">
    <w:pPr>
      <w:pStyle w:val="Header"/>
    </w:pPr>
    <w:r>
      <w:t>www.flourishproject.net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C64"/>
    <w:multiLevelType w:val="multilevel"/>
    <w:tmpl w:val="8A8A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65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61"/>
    <w:rsid w:val="00030B27"/>
    <w:rsid w:val="00395734"/>
    <w:rsid w:val="003B4252"/>
    <w:rsid w:val="005020DE"/>
    <w:rsid w:val="005613B4"/>
    <w:rsid w:val="005B3BC9"/>
    <w:rsid w:val="005C6087"/>
    <w:rsid w:val="00606815"/>
    <w:rsid w:val="007562FE"/>
    <w:rsid w:val="008E3961"/>
    <w:rsid w:val="00AE5EBE"/>
    <w:rsid w:val="00B26DAA"/>
    <w:rsid w:val="00C64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9231"/>
  <w15:chartTrackingRefBased/>
  <w15:docId w15:val="{D0E0E7BE-381C-8948-9F5D-CA1C2FB3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9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9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39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396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396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396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396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96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96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396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39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39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39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39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39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96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9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39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3961"/>
    <w:rPr>
      <w:i/>
      <w:iCs/>
      <w:color w:val="404040" w:themeColor="text1" w:themeTint="BF"/>
    </w:rPr>
  </w:style>
  <w:style w:type="paragraph" w:styleId="ListParagraph">
    <w:name w:val="List Paragraph"/>
    <w:basedOn w:val="Normal"/>
    <w:uiPriority w:val="34"/>
    <w:qFormat/>
    <w:rsid w:val="008E3961"/>
    <w:pPr>
      <w:ind w:left="720"/>
      <w:contextualSpacing/>
    </w:pPr>
  </w:style>
  <w:style w:type="character" w:styleId="IntenseEmphasis">
    <w:name w:val="Intense Emphasis"/>
    <w:basedOn w:val="DefaultParagraphFont"/>
    <w:uiPriority w:val="21"/>
    <w:qFormat/>
    <w:rsid w:val="008E3961"/>
    <w:rPr>
      <w:i/>
      <w:iCs/>
      <w:color w:val="0F4761" w:themeColor="accent1" w:themeShade="BF"/>
    </w:rPr>
  </w:style>
  <w:style w:type="paragraph" w:styleId="IntenseQuote">
    <w:name w:val="Intense Quote"/>
    <w:basedOn w:val="Normal"/>
    <w:next w:val="Normal"/>
    <w:link w:val="IntenseQuoteChar"/>
    <w:uiPriority w:val="30"/>
    <w:qFormat/>
    <w:rsid w:val="008E3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961"/>
    <w:rPr>
      <w:i/>
      <w:iCs/>
      <w:color w:val="0F4761" w:themeColor="accent1" w:themeShade="BF"/>
    </w:rPr>
  </w:style>
  <w:style w:type="character" w:styleId="IntenseReference">
    <w:name w:val="Intense Reference"/>
    <w:basedOn w:val="DefaultParagraphFont"/>
    <w:uiPriority w:val="32"/>
    <w:qFormat/>
    <w:rsid w:val="008E3961"/>
    <w:rPr>
      <w:b/>
      <w:bCs/>
      <w:smallCaps/>
      <w:color w:val="0F4761" w:themeColor="accent1" w:themeShade="BF"/>
      <w:spacing w:val="5"/>
    </w:rPr>
  </w:style>
  <w:style w:type="paragraph" w:styleId="Header">
    <w:name w:val="header"/>
    <w:basedOn w:val="Normal"/>
    <w:link w:val="HeaderChar"/>
    <w:uiPriority w:val="99"/>
    <w:unhideWhenUsed/>
    <w:rsid w:val="003B4252"/>
    <w:pPr>
      <w:tabs>
        <w:tab w:val="center" w:pos="4513"/>
        <w:tab w:val="right" w:pos="9026"/>
      </w:tabs>
    </w:pPr>
  </w:style>
  <w:style w:type="character" w:customStyle="1" w:styleId="HeaderChar">
    <w:name w:val="Header Char"/>
    <w:basedOn w:val="DefaultParagraphFont"/>
    <w:link w:val="Header"/>
    <w:uiPriority w:val="99"/>
    <w:rsid w:val="003B4252"/>
  </w:style>
  <w:style w:type="paragraph" w:styleId="Footer">
    <w:name w:val="footer"/>
    <w:basedOn w:val="Normal"/>
    <w:link w:val="FooterChar"/>
    <w:uiPriority w:val="99"/>
    <w:unhideWhenUsed/>
    <w:rsid w:val="003B4252"/>
    <w:pPr>
      <w:tabs>
        <w:tab w:val="center" w:pos="4513"/>
        <w:tab w:val="right" w:pos="9026"/>
      </w:tabs>
    </w:pPr>
  </w:style>
  <w:style w:type="character" w:customStyle="1" w:styleId="FooterChar">
    <w:name w:val="Footer Char"/>
    <w:basedOn w:val="DefaultParagraphFont"/>
    <w:link w:val="Footer"/>
    <w:uiPriority w:val="99"/>
    <w:rsid w:val="003B4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467300">
      <w:bodyDiv w:val="1"/>
      <w:marLeft w:val="0"/>
      <w:marRight w:val="0"/>
      <w:marTop w:val="0"/>
      <w:marBottom w:val="0"/>
      <w:divBdr>
        <w:top w:val="none" w:sz="0" w:space="0" w:color="auto"/>
        <w:left w:val="none" w:sz="0" w:space="0" w:color="auto"/>
        <w:bottom w:val="none" w:sz="0" w:space="0" w:color="auto"/>
        <w:right w:val="none" w:sz="0" w:space="0" w:color="auto"/>
      </w:divBdr>
      <w:divsChild>
        <w:div w:id="1581480941">
          <w:marLeft w:val="0"/>
          <w:marRight w:val="0"/>
          <w:marTop w:val="0"/>
          <w:marBottom w:val="0"/>
          <w:divBdr>
            <w:top w:val="none" w:sz="0" w:space="0" w:color="auto"/>
            <w:left w:val="none" w:sz="0" w:space="0" w:color="auto"/>
            <w:bottom w:val="none" w:sz="0" w:space="0" w:color="auto"/>
            <w:right w:val="none" w:sz="0" w:space="0" w:color="auto"/>
          </w:divBdr>
        </w:div>
        <w:div w:id="1411923511">
          <w:marLeft w:val="0"/>
          <w:marRight w:val="0"/>
          <w:marTop w:val="0"/>
          <w:marBottom w:val="0"/>
          <w:divBdr>
            <w:top w:val="none" w:sz="0" w:space="0" w:color="auto"/>
            <w:left w:val="none" w:sz="0" w:space="0" w:color="auto"/>
            <w:bottom w:val="none" w:sz="0" w:space="0" w:color="auto"/>
            <w:right w:val="none" w:sz="0" w:space="0" w:color="auto"/>
          </w:divBdr>
        </w:div>
        <w:div w:id="1715883931">
          <w:marLeft w:val="0"/>
          <w:marRight w:val="0"/>
          <w:marTop w:val="0"/>
          <w:marBottom w:val="0"/>
          <w:divBdr>
            <w:top w:val="none" w:sz="0" w:space="0" w:color="auto"/>
            <w:left w:val="none" w:sz="0" w:space="0" w:color="auto"/>
            <w:bottom w:val="none" w:sz="0" w:space="0" w:color="auto"/>
            <w:right w:val="none" w:sz="0" w:space="0" w:color="auto"/>
          </w:divBdr>
        </w:div>
        <w:div w:id="1822766606">
          <w:marLeft w:val="0"/>
          <w:marRight w:val="0"/>
          <w:marTop w:val="0"/>
          <w:marBottom w:val="0"/>
          <w:divBdr>
            <w:top w:val="none" w:sz="0" w:space="0" w:color="auto"/>
            <w:left w:val="none" w:sz="0" w:space="0" w:color="auto"/>
            <w:bottom w:val="none" w:sz="0" w:space="0" w:color="auto"/>
            <w:right w:val="none" w:sz="0" w:space="0" w:color="auto"/>
          </w:divBdr>
        </w:div>
        <w:div w:id="1394306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699</Words>
  <Characters>4620</Characters>
  <Application>Microsoft Office Word</Application>
  <DocSecurity>0</DocSecurity>
  <Lines>98</Lines>
  <Paragraphs>25</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Ellyatt</dc:creator>
  <cp:keywords/>
  <dc:description/>
  <cp:lastModifiedBy>Wendy Ellyatt</cp:lastModifiedBy>
  <cp:revision>2</cp:revision>
  <dcterms:created xsi:type="dcterms:W3CDTF">2025-04-27T09:18:00Z</dcterms:created>
  <dcterms:modified xsi:type="dcterms:W3CDTF">2025-04-27T09:28:00Z</dcterms:modified>
</cp:coreProperties>
</file>